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</w:rPr>
        <w:t>全校安全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  <w:lang w:val="en-US" w:eastAsia="zh-CN"/>
        </w:rPr>
        <w:t>专项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</w:rPr>
        <w:t>检查督查工作安排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</w:rPr>
      </w:pP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919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督查领域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安全生产责任制落实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党政办、保卫处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消防安全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实验室与危化品安全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设备处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用电用气安全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总务部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交通安全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总务部、保卫处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建筑施工安全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特种设备安全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设备处、总务部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疫情防控安全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党政办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1.9月13日至16日，由各牵头单位确定具体督查时间，采取“四不两直”的方式对相关单位开展督查工作。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2.原则上各牵头单位督查不少于5家单位。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50E8C"/>
    <w:rsid w:val="6D150E8C"/>
    <w:rsid w:val="709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2021-09-06T04:35:00Z</dcterms:created>
  <dc:creator>望</dc:creator>
  <cp:lastModifiedBy>望</cp:lastModifiedBy>
  <dcterms:modified xsi:type="dcterms:W3CDTF">2021-09-06T08:23:59Z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54FB2670426D45BBAFCF3AE91D897CC3</vt:lpwstr>
  </property>
</Properties>
</file>