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35" w:rsidRPr="00AD7A59" w:rsidRDefault="00F45335" w:rsidP="00F45335">
      <w:pPr>
        <w:widowControl/>
        <w:spacing w:before="100" w:beforeAutospacing="1" w:after="100" w:afterAutospacing="1" w:line="450" w:lineRule="atLeast"/>
        <w:jc w:val="center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射线装置分类办法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根据《放射性同位素与射线装置安全和防护条例》（国务院令第</w:t>
      </w:r>
      <w:r w:rsidRPr="00AD7A59">
        <w:rPr>
          <w:rFonts w:ascii="ˎ̥" w:eastAsia="宋体" w:hAnsi="ˎ̥" w:cs="宋体"/>
          <w:kern w:val="0"/>
          <w:sz w:val="27"/>
          <w:szCs w:val="27"/>
        </w:rPr>
        <w:t>449</w:t>
      </w:r>
      <w:r w:rsidRPr="00AD7A59">
        <w:rPr>
          <w:rFonts w:ascii="ˎ̥" w:eastAsia="宋体" w:hAnsi="ˎ̥" w:cs="宋体"/>
          <w:kern w:val="0"/>
          <w:sz w:val="27"/>
          <w:szCs w:val="27"/>
        </w:rPr>
        <w:t>号）规定，制定本射线装置分类办法。</w:t>
      </w:r>
      <w:r w:rsidRPr="00AD7A59">
        <w:rPr>
          <w:rFonts w:ascii="ˎ̥" w:eastAsia="宋体" w:hAnsi="ˎ̥" w:cs="宋体"/>
          <w:kern w:val="0"/>
          <w:sz w:val="27"/>
          <w:szCs w:val="27"/>
        </w:rPr>
        <w:t xml:space="preserve"> 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一、射线装置分类原则</w:t>
      </w:r>
      <w:r w:rsidRPr="00AD7A59">
        <w:rPr>
          <w:rFonts w:ascii="ˎ̥" w:eastAsia="宋体" w:hAnsi="ˎ̥" w:cs="宋体"/>
          <w:kern w:val="0"/>
          <w:sz w:val="27"/>
          <w:szCs w:val="27"/>
        </w:rPr>
        <w:t xml:space="preserve"> 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根据射线装置对人体健康和环境可能造成危害的程度，从高到低将射线装置分为</w:t>
      </w:r>
      <w:r w:rsidRPr="00AD7A59">
        <w:rPr>
          <w:rFonts w:ascii="宋体" w:eastAsia="宋体" w:hAnsi="宋体" w:cs="宋体"/>
          <w:kern w:val="0"/>
          <w:sz w:val="27"/>
          <w:szCs w:val="27"/>
        </w:rPr>
        <w:t>Ⅰ</w:t>
      </w:r>
      <w:r w:rsidRPr="00AD7A59">
        <w:rPr>
          <w:rFonts w:ascii="ˎ̥" w:eastAsia="宋体" w:hAnsi="ˎ̥" w:cs="宋体"/>
          <w:kern w:val="0"/>
          <w:sz w:val="27"/>
          <w:szCs w:val="27"/>
        </w:rPr>
        <w:t>类、</w:t>
      </w:r>
      <w:r w:rsidRPr="00AD7A59">
        <w:rPr>
          <w:rFonts w:ascii="宋体" w:eastAsia="宋体" w:hAnsi="宋体" w:cs="宋体"/>
          <w:kern w:val="0"/>
          <w:sz w:val="27"/>
          <w:szCs w:val="27"/>
        </w:rPr>
        <w:t>Ⅱ</w:t>
      </w:r>
      <w:r w:rsidRPr="00AD7A59">
        <w:rPr>
          <w:rFonts w:ascii="ˎ̥" w:eastAsia="宋体" w:hAnsi="ˎ̥" w:cs="宋体"/>
          <w:kern w:val="0"/>
          <w:sz w:val="27"/>
          <w:szCs w:val="27"/>
        </w:rPr>
        <w:t>类、</w:t>
      </w:r>
      <w:r w:rsidRPr="00AD7A59">
        <w:rPr>
          <w:rFonts w:ascii="宋体" w:eastAsia="宋体" w:hAnsi="宋体" w:cs="宋体"/>
          <w:kern w:val="0"/>
          <w:sz w:val="27"/>
          <w:szCs w:val="27"/>
        </w:rPr>
        <w:t>Ⅲ</w:t>
      </w:r>
      <w:r w:rsidRPr="00AD7A59">
        <w:rPr>
          <w:rFonts w:ascii="ˎ̥" w:eastAsia="宋体" w:hAnsi="ˎ̥" w:cs="宋体"/>
          <w:kern w:val="0"/>
          <w:sz w:val="27"/>
          <w:szCs w:val="27"/>
        </w:rPr>
        <w:t>类。按照使用用途分医用射线装置和非医用射线装置。</w:t>
      </w:r>
      <w:r w:rsidRPr="00AD7A59">
        <w:rPr>
          <w:rFonts w:ascii="ˎ̥" w:eastAsia="宋体" w:hAnsi="ˎ̥" w:cs="宋体"/>
          <w:kern w:val="0"/>
          <w:sz w:val="27"/>
          <w:szCs w:val="27"/>
        </w:rPr>
        <w:t xml:space="preserve"> 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（一）</w:t>
      </w:r>
      <w:r w:rsidRPr="00AD7A59">
        <w:rPr>
          <w:rFonts w:ascii="宋体" w:eastAsia="宋体" w:hAnsi="宋体" w:cs="宋体"/>
          <w:kern w:val="0"/>
          <w:sz w:val="27"/>
          <w:szCs w:val="27"/>
        </w:rPr>
        <w:t>Ⅰ</w:t>
      </w:r>
      <w:r w:rsidRPr="00AD7A59">
        <w:rPr>
          <w:rFonts w:ascii="ˎ̥" w:eastAsia="宋体" w:hAnsi="ˎ̥" w:cs="宋体"/>
          <w:kern w:val="0"/>
          <w:sz w:val="27"/>
          <w:szCs w:val="27"/>
        </w:rPr>
        <w:t>类为高危险射线装置，事故时可以使短时间受照射人员产生严重放射损伤，甚至死亡</w:t>
      </w:r>
      <w:r w:rsidRPr="00AD7A59">
        <w:rPr>
          <w:rFonts w:ascii="ˎ̥" w:eastAsia="宋体" w:hAnsi="ˎ̥" w:cs="宋体"/>
          <w:kern w:val="0"/>
          <w:sz w:val="27"/>
          <w:szCs w:val="27"/>
        </w:rPr>
        <w:t>,</w:t>
      </w:r>
      <w:r w:rsidRPr="00AD7A59">
        <w:rPr>
          <w:rFonts w:ascii="ˎ̥" w:eastAsia="宋体" w:hAnsi="ˎ̥" w:cs="宋体"/>
          <w:kern w:val="0"/>
          <w:sz w:val="27"/>
          <w:szCs w:val="27"/>
        </w:rPr>
        <w:t>或对环境造成严重影响；</w:t>
      </w:r>
      <w:r w:rsidRPr="00AD7A59">
        <w:rPr>
          <w:rFonts w:ascii="ˎ̥" w:eastAsia="宋体" w:hAnsi="ˎ̥" w:cs="宋体"/>
          <w:kern w:val="0"/>
          <w:sz w:val="27"/>
          <w:szCs w:val="27"/>
        </w:rPr>
        <w:t xml:space="preserve"> 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（二）</w:t>
      </w:r>
      <w:r w:rsidRPr="00AD7A59">
        <w:rPr>
          <w:rFonts w:ascii="宋体" w:eastAsia="宋体" w:hAnsi="宋体" w:cs="宋体"/>
          <w:kern w:val="0"/>
          <w:sz w:val="27"/>
          <w:szCs w:val="27"/>
        </w:rPr>
        <w:t>Ⅱ</w:t>
      </w:r>
      <w:r w:rsidRPr="00AD7A59">
        <w:rPr>
          <w:rFonts w:ascii="ˎ̥" w:eastAsia="宋体" w:hAnsi="ˎ̥" w:cs="宋体"/>
          <w:kern w:val="0"/>
          <w:sz w:val="27"/>
          <w:szCs w:val="27"/>
        </w:rPr>
        <w:t>类为中危险射线装置，事故时可以使受</w:t>
      </w:r>
      <w:proofErr w:type="gramStart"/>
      <w:r w:rsidRPr="00AD7A59">
        <w:rPr>
          <w:rFonts w:ascii="ˎ̥" w:eastAsia="宋体" w:hAnsi="ˎ̥" w:cs="宋体"/>
          <w:kern w:val="0"/>
          <w:sz w:val="27"/>
          <w:szCs w:val="27"/>
        </w:rPr>
        <w:t>照人员</w:t>
      </w:r>
      <w:proofErr w:type="gramEnd"/>
      <w:r w:rsidRPr="00AD7A59">
        <w:rPr>
          <w:rFonts w:ascii="ˎ̥" w:eastAsia="宋体" w:hAnsi="ˎ̥" w:cs="宋体"/>
          <w:kern w:val="0"/>
          <w:sz w:val="27"/>
          <w:szCs w:val="27"/>
        </w:rPr>
        <w:t>产生较严重放射损伤，大剂量照射甚至导致死亡；</w:t>
      </w:r>
      <w:r w:rsidRPr="00AD7A59">
        <w:rPr>
          <w:rFonts w:ascii="ˎ̥" w:eastAsia="宋体" w:hAnsi="ˎ̥" w:cs="宋体"/>
          <w:kern w:val="0"/>
          <w:sz w:val="27"/>
          <w:szCs w:val="27"/>
        </w:rPr>
        <w:t xml:space="preserve"> 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（三）</w:t>
      </w:r>
      <w:r w:rsidRPr="00AD7A59">
        <w:rPr>
          <w:rFonts w:ascii="宋体" w:eastAsia="宋体" w:hAnsi="宋体" w:cs="宋体"/>
          <w:kern w:val="0"/>
          <w:sz w:val="27"/>
          <w:szCs w:val="27"/>
        </w:rPr>
        <w:t>Ⅲ</w:t>
      </w:r>
      <w:r w:rsidRPr="00AD7A59">
        <w:rPr>
          <w:rFonts w:ascii="ˎ̥" w:eastAsia="宋体" w:hAnsi="ˎ̥" w:cs="宋体"/>
          <w:kern w:val="0"/>
          <w:sz w:val="27"/>
          <w:szCs w:val="27"/>
        </w:rPr>
        <w:t>类为低危险射线装置，事故时一般不会造成受</w:t>
      </w:r>
      <w:proofErr w:type="gramStart"/>
      <w:r w:rsidRPr="00AD7A59">
        <w:rPr>
          <w:rFonts w:ascii="ˎ̥" w:eastAsia="宋体" w:hAnsi="ˎ̥" w:cs="宋体"/>
          <w:kern w:val="0"/>
          <w:sz w:val="27"/>
          <w:szCs w:val="27"/>
        </w:rPr>
        <w:t>照人员</w:t>
      </w:r>
      <w:proofErr w:type="gramEnd"/>
      <w:r w:rsidRPr="00AD7A59">
        <w:rPr>
          <w:rFonts w:ascii="ˎ̥" w:eastAsia="宋体" w:hAnsi="ˎ̥" w:cs="宋体"/>
          <w:kern w:val="0"/>
          <w:sz w:val="27"/>
          <w:szCs w:val="27"/>
        </w:rPr>
        <w:t>的放射损伤。</w:t>
      </w:r>
      <w:r w:rsidRPr="00AD7A59">
        <w:rPr>
          <w:rFonts w:ascii="ˎ̥" w:eastAsia="宋体" w:hAnsi="ˎ̥" w:cs="宋体"/>
          <w:kern w:val="0"/>
          <w:sz w:val="27"/>
          <w:szCs w:val="27"/>
        </w:rPr>
        <w:t xml:space="preserve"> 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二、射线装置分类表</w:t>
      </w:r>
      <w:r w:rsidRPr="00AD7A59">
        <w:rPr>
          <w:rFonts w:ascii="ˎ̥" w:eastAsia="宋体" w:hAnsi="ˎ̥" w:cs="宋体"/>
          <w:kern w:val="0"/>
          <w:sz w:val="27"/>
          <w:szCs w:val="27"/>
        </w:rPr>
        <w:t xml:space="preserve"> </w:t>
      </w:r>
    </w:p>
    <w:p w:rsidR="00F45335" w:rsidRPr="00AD7A59" w:rsidRDefault="00F45335" w:rsidP="00F45335">
      <w:pPr>
        <w:widowControl/>
        <w:spacing w:line="520" w:lineRule="exact"/>
        <w:jc w:val="left"/>
        <w:rPr>
          <w:rFonts w:ascii="ˎ̥" w:eastAsia="宋体" w:hAnsi="ˎ̥" w:cs="宋体" w:hint="eastAsia"/>
          <w:kern w:val="0"/>
          <w:szCs w:val="21"/>
        </w:rPr>
      </w:pPr>
      <w:r w:rsidRPr="00AD7A59">
        <w:rPr>
          <w:rFonts w:ascii="ˎ̥" w:eastAsia="宋体" w:hAnsi="ˎ̥" w:cs="宋体"/>
          <w:kern w:val="0"/>
          <w:sz w:val="27"/>
          <w:szCs w:val="27"/>
        </w:rPr>
        <w:t xml:space="preserve">　　常用的射线装置按下列表进行分类。</w:t>
      </w:r>
    </w:p>
    <w:p w:rsidR="00F45335" w:rsidRPr="00F45335" w:rsidRDefault="00F45335" w:rsidP="00F45335">
      <w:pPr>
        <w:widowControl/>
        <w:spacing w:before="100" w:beforeAutospacing="1" w:after="100" w:afterAutospacing="1" w:line="450" w:lineRule="atLeast"/>
        <w:jc w:val="center"/>
        <w:rPr>
          <w:rFonts w:ascii="ˎ̥" w:eastAsia="宋体" w:hAnsi="ˎ̥" w:cs="宋体" w:hint="eastAsia"/>
          <w:b/>
          <w:bCs/>
          <w:kern w:val="0"/>
          <w:sz w:val="27"/>
          <w:szCs w:val="27"/>
        </w:rPr>
      </w:pP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射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 xml:space="preserve"> 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线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 xml:space="preserve"> 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装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 xml:space="preserve"> 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置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 xml:space="preserve"> 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分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 xml:space="preserve"> 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类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 xml:space="preserve"> </w:t>
      </w:r>
      <w:r w:rsidRPr="00AD7A59">
        <w:rPr>
          <w:rFonts w:ascii="ˎ̥" w:eastAsia="宋体" w:hAnsi="ˎ̥" w:cs="宋体"/>
          <w:b/>
          <w:bCs/>
          <w:kern w:val="0"/>
          <w:sz w:val="27"/>
          <w:szCs w:val="27"/>
        </w:rPr>
        <w:t>表</w:t>
      </w:r>
    </w:p>
    <w:tbl>
      <w:tblPr>
        <w:tblW w:w="8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810"/>
        <w:gridCol w:w="3320"/>
      </w:tblGrid>
      <w:tr w:rsidR="00F45335" w:rsidRPr="00AD7A59" w:rsidTr="00F45335">
        <w:trPr>
          <w:trHeight w:val="2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AD7A59" w:rsidRDefault="00F45335" w:rsidP="003571B3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D7A59">
              <w:rPr>
                <w:rFonts w:ascii="宋体" w:eastAsia="宋体" w:hAnsi="宋体" w:cs="宋体"/>
                <w:kern w:val="0"/>
                <w:sz w:val="27"/>
                <w:szCs w:val="27"/>
              </w:rPr>
              <w:t>装置类别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AD7A59" w:rsidRDefault="00F45335" w:rsidP="003571B3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D7A59">
              <w:rPr>
                <w:rFonts w:ascii="宋体" w:eastAsia="宋体" w:hAnsi="宋体" w:cs="宋体"/>
                <w:kern w:val="0"/>
                <w:sz w:val="27"/>
                <w:szCs w:val="27"/>
              </w:rPr>
              <w:t>医用射线装置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AD7A59" w:rsidRDefault="00F45335" w:rsidP="003571B3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D7A59">
              <w:rPr>
                <w:rFonts w:ascii="宋体" w:eastAsia="宋体" w:hAnsi="宋体" w:cs="宋体"/>
                <w:kern w:val="0"/>
                <w:sz w:val="27"/>
                <w:szCs w:val="27"/>
              </w:rPr>
              <w:t>非医用射线装置</w:t>
            </w:r>
          </w:p>
        </w:tc>
      </w:tr>
      <w:tr w:rsidR="00F45335" w:rsidRPr="00AD7A59" w:rsidTr="00F45335">
        <w:trPr>
          <w:trHeight w:val="85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Ⅰ射线装置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能量大于100</w:t>
            </w:r>
            <w:proofErr w:type="gramStart"/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兆</w:t>
            </w:r>
            <w:proofErr w:type="gramEnd"/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电子伏的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生产放射性同位素的加速器（不含制备PET用放射性药物的加速器）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医用加速器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能量大于100</w:t>
            </w:r>
            <w:proofErr w:type="gramStart"/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兆</w:t>
            </w:r>
            <w:proofErr w:type="gramEnd"/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电子伏的加速器</w:t>
            </w:r>
          </w:p>
        </w:tc>
      </w:tr>
      <w:tr w:rsidR="00F45335" w:rsidRPr="00AD7A59" w:rsidTr="00F45335">
        <w:trPr>
          <w:trHeight w:val="57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Ⅱ类射线装置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放射治疗用X射线、电子束加速器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工业探伤加速器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重离子治疗加速器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安全检查用加速器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质子治疗装置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辐照装置用加速器</w:t>
            </w:r>
          </w:p>
        </w:tc>
      </w:tr>
      <w:tr w:rsidR="00F45335" w:rsidRPr="00AD7A59" w:rsidTr="00F45335">
        <w:trPr>
          <w:trHeight w:val="85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制备正电子发射计算机断层显像装置（PET）用放射性药物的加速器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其它非医用加速器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其他医用加速器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中子发生器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X射线深部治疗机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工业用X射线CT机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数字减影血管造影装置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X射线探伤机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Ⅲ类射线装置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医用X射线CT机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X射线行李包检查装置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放射诊断用普通X射线机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X射线衍射仪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X射线摄影装置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兽医用X射线机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牙科X射线机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乳腺X射线机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45335" w:rsidRPr="00AD7A59" w:rsidTr="00F45335">
        <w:trPr>
          <w:trHeight w:val="28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放射治疗模拟定位机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45335" w:rsidRPr="00AD7A59" w:rsidTr="00F45335">
        <w:trPr>
          <w:trHeight w:val="51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35" w:rsidRPr="00F45335" w:rsidRDefault="00F45335" w:rsidP="003571B3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24"/>
                <w:szCs w:val="24"/>
              </w:rPr>
            </w:pPr>
            <w:r w:rsidRPr="00F45335">
              <w:rPr>
                <w:rFonts w:ascii="宋体" w:eastAsia="宋体" w:hAnsi="宋体" w:cs="宋体"/>
                <w:kern w:val="0"/>
                <w:sz w:val="24"/>
                <w:szCs w:val="24"/>
              </w:rPr>
              <w:t>其它高于豁免水平的X射线机</w:t>
            </w:r>
          </w:p>
        </w:tc>
      </w:tr>
    </w:tbl>
    <w:p w:rsidR="00F45335" w:rsidRPr="00F45335" w:rsidRDefault="00F45335">
      <w:pPr>
        <w:rPr>
          <w:rFonts w:hint="eastAsia"/>
        </w:rPr>
      </w:pPr>
      <w:bookmarkStart w:id="0" w:name="_GoBack"/>
      <w:bookmarkEnd w:id="0"/>
    </w:p>
    <w:sectPr w:rsidR="00F45335" w:rsidRPr="00F45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9"/>
    <w:rsid w:val="00554F04"/>
    <w:rsid w:val="00AD7A59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568B4-36FC-4894-9EBD-D8627E7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64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2</cp:revision>
  <dcterms:created xsi:type="dcterms:W3CDTF">2017-11-24T03:39:00Z</dcterms:created>
  <dcterms:modified xsi:type="dcterms:W3CDTF">2018-01-02T02:57:00Z</dcterms:modified>
</cp:coreProperties>
</file>